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75" w:rsidRPr="004A79DA" w:rsidRDefault="00CC4475" w:rsidP="004A79DA">
      <w:pPr>
        <w:widowControl/>
        <w:shd w:val="clear" w:color="auto" w:fill="FFFFFF"/>
        <w:spacing w:after="300"/>
        <w:jc w:val="center"/>
        <w:rPr>
          <w:rFonts w:ascii="彩虹小标宋" w:eastAsia="彩虹小标宋" w:hAnsi="微软雅黑" w:cs="宋体"/>
          <w:color w:val="333333"/>
          <w:kern w:val="0"/>
          <w:sz w:val="44"/>
          <w:szCs w:val="44"/>
        </w:rPr>
      </w:pPr>
      <w:r w:rsidRPr="004A79DA">
        <w:rPr>
          <w:rFonts w:ascii="彩虹小标宋" w:eastAsia="彩虹小标宋" w:hAnsi="微软雅黑" w:cs="宋体" w:hint="eastAsia"/>
          <w:color w:val="333333"/>
          <w:kern w:val="0"/>
          <w:sz w:val="44"/>
          <w:szCs w:val="44"/>
        </w:rPr>
        <w:t>关于</w:t>
      </w:r>
      <w:r w:rsidR="004A79DA" w:rsidRPr="004A79DA">
        <w:rPr>
          <w:rFonts w:ascii="彩虹小标宋" w:eastAsia="彩虹小标宋" w:hAnsi="微软雅黑" w:cs="宋体" w:hint="eastAsia"/>
          <w:color w:val="333333"/>
          <w:kern w:val="0"/>
          <w:sz w:val="44"/>
          <w:szCs w:val="44"/>
        </w:rPr>
        <w:t>建信理财“安鑫”（最低持有360天）按日开放固定收益类净值型人民币理财产品</w:t>
      </w:r>
      <w:r w:rsidR="007E25E6">
        <w:rPr>
          <w:rFonts w:ascii="彩虹小标宋" w:eastAsia="彩虹小标宋" w:hAnsi="微软雅黑" w:cs="宋体" w:hint="eastAsia"/>
          <w:color w:val="333333"/>
          <w:kern w:val="0"/>
          <w:sz w:val="44"/>
          <w:szCs w:val="44"/>
        </w:rPr>
        <w:t>L类份额</w:t>
      </w:r>
      <w:r w:rsidRPr="004A79DA">
        <w:rPr>
          <w:rFonts w:ascii="彩虹小标宋" w:eastAsia="彩虹小标宋" w:hAnsi="微软雅黑" w:cs="宋体" w:hint="eastAsia"/>
          <w:color w:val="333333"/>
          <w:kern w:val="0"/>
          <w:sz w:val="44"/>
          <w:szCs w:val="44"/>
        </w:rPr>
        <w:t>增加销售服务机构的公告</w:t>
      </w:r>
      <w:r w:rsidR="000E1174">
        <w:rPr>
          <w:rFonts w:ascii="彩虹小标宋" w:eastAsia="彩虹小标宋" w:hAnsi="微软雅黑" w:cs="宋体" w:hint="eastAsia"/>
          <w:color w:val="333333"/>
          <w:kern w:val="0"/>
          <w:sz w:val="44"/>
          <w:szCs w:val="44"/>
        </w:rPr>
        <w:t>-</w:t>
      </w:r>
      <w:r w:rsidR="000E1174" w:rsidRPr="000E1174">
        <w:t xml:space="preserve"> </w:t>
      </w:r>
      <w:r w:rsidR="000E1174" w:rsidRPr="000E1174">
        <w:rPr>
          <w:rFonts w:ascii="彩虹小标宋" w:eastAsia="彩虹小标宋" w:hAnsi="微软雅黑" w:cs="宋体"/>
          <w:color w:val="333333"/>
          <w:kern w:val="0"/>
          <w:sz w:val="44"/>
          <w:szCs w:val="44"/>
        </w:rPr>
        <w:t>JXQYAX360D2018202</w:t>
      </w:r>
      <w:bookmarkStart w:id="0" w:name="_GoBack"/>
      <w:bookmarkEnd w:id="0"/>
    </w:p>
    <w:p w:rsidR="00CC4475" w:rsidRPr="00CC4475" w:rsidRDefault="00CC4475" w:rsidP="00CC4475">
      <w:pPr>
        <w:widowControl/>
        <w:shd w:val="clear" w:color="auto" w:fill="FFFFFF"/>
        <w:spacing w:line="330" w:lineRule="atLeast"/>
        <w:jc w:val="left"/>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t>尊敬的客户：</w:t>
      </w:r>
    </w:p>
    <w:p w:rsidR="00CC4475" w:rsidRPr="00CC4475" w:rsidRDefault="00CC4475" w:rsidP="00DE1F9E">
      <w:pPr>
        <w:widowControl/>
        <w:shd w:val="clear" w:color="auto" w:fill="FFFFFF"/>
        <w:spacing w:line="330" w:lineRule="atLeast"/>
        <w:ind w:firstLine="640"/>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t>为更好地为</w:t>
      </w:r>
      <w:r w:rsidR="00DE1F9E">
        <w:rPr>
          <w:rFonts w:ascii="彩虹粗仿宋" w:eastAsia="彩虹粗仿宋" w:hAnsi="宋体" w:cs="宋体" w:hint="eastAsia"/>
          <w:color w:val="000000"/>
          <w:kern w:val="0"/>
          <w:sz w:val="32"/>
          <w:szCs w:val="32"/>
        </w:rPr>
        <w:t>个人养老金投资者</w:t>
      </w:r>
      <w:r w:rsidRPr="00CC4475">
        <w:rPr>
          <w:rFonts w:ascii="彩虹粗仿宋" w:eastAsia="彩虹粗仿宋" w:hAnsi="宋体" w:cs="宋体" w:hint="eastAsia"/>
          <w:color w:val="000000"/>
          <w:kern w:val="0"/>
          <w:sz w:val="32"/>
          <w:szCs w:val="32"/>
        </w:rPr>
        <w:t>提供投资理财服务，建信理财有限责任公司拟于202</w:t>
      </w:r>
      <w:r w:rsidR="00DE1F9E">
        <w:rPr>
          <w:rFonts w:ascii="彩虹粗仿宋" w:eastAsia="彩虹粗仿宋" w:hAnsi="宋体" w:cs="宋体" w:hint="eastAsia"/>
          <w:color w:val="000000"/>
          <w:kern w:val="0"/>
          <w:sz w:val="32"/>
          <w:szCs w:val="32"/>
        </w:rPr>
        <w:t>4</w:t>
      </w:r>
      <w:r w:rsidRPr="00CC4475">
        <w:rPr>
          <w:rFonts w:ascii="彩虹粗仿宋" w:eastAsia="彩虹粗仿宋" w:hAnsi="宋体" w:cs="宋体" w:hint="eastAsia"/>
          <w:color w:val="000000"/>
          <w:kern w:val="0"/>
          <w:sz w:val="32"/>
          <w:szCs w:val="32"/>
        </w:rPr>
        <w:t>年</w:t>
      </w:r>
      <w:r w:rsidR="00DE1F9E">
        <w:rPr>
          <w:rFonts w:ascii="彩虹粗仿宋" w:eastAsia="彩虹粗仿宋" w:hAnsi="宋体" w:cs="宋体" w:hint="eastAsia"/>
          <w:color w:val="000000"/>
          <w:kern w:val="0"/>
          <w:sz w:val="32"/>
          <w:szCs w:val="32"/>
        </w:rPr>
        <w:t>7</w:t>
      </w:r>
      <w:r w:rsidRPr="00CC4475">
        <w:rPr>
          <w:rFonts w:ascii="彩虹粗仿宋" w:eastAsia="彩虹粗仿宋" w:hAnsi="宋体" w:cs="宋体" w:hint="eastAsia"/>
          <w:color w:val="000000"/>
          <w:kern w:val="0"/>
          <w:sz w:val="32"/>
          <w:szCs w:val="32"/>
        </w:rPr>
        <w:t>月</w:t>
      </w:r>
      <w:r w:rsidR="000B2A25">
        <w:rPr>
          <w:rFonts w:ascii="彩虹粗仿宋" w:eastAsia="彩虹粗仿宋" w:hAnsi="宋体" w:cs="宋体" w:hint="eastAsia"/>
          <w:color w:val="000000"/>
          <w:kern w:val="0"/>
          <w:sz w:val="32"/>
          <w:szCs w:val="32"/>
        </w:rPr>
        <w:t>2</w:t>
      </w:r>
      <w:r w:rsidRPr="00CC4475">
        <w:rPr>
          <w:rFonts w:ascii="彩虹粗仿宋" w:eastAsia="彩虹粗仿宋" w:hAnsi="宋体" w:cs="宋体" w:hint="eastAsia"/>
          <w:color w:val="000000"/>
          <w:kern w:val="0"/>
          <w:sz w:val="32"/>
          <w:szCs w:val="32"/>
        </w:rPr>
        <w:t>日（含）起，增加</w:t>
      </w:r>
      <w:r w:rsidR="00DE1F9E">
        <w:rPr>
          <w:rFonts w:ascii="彩虹粗仿宋" w:eastAsia="彩虹粗仿宋" w:hAnsi="宋体" w:cs="宋体" w:hint="eastAsia"/>
          <w:color w:val="000000"/>
          <w:kern w:val="0"/>
          <w:sz w:val="32"/>
          <w:szCs w:val="32"/>
        </w:rPr>
        <w:t>交通</w:t>
      </w:r>
      <w:r w:rsidR="00EF58EF">
        <w:rPr>
          <w:rFonts w:ascii="彩虹粗仿宋" w:eastAsia="彩虹粗仿宋" w:hAnsi="宋体" w:cs="宋体" w:hint="eastAsia"/>
          <w:color w:val="000000"/>
          <w:kern w:val="0"/>
          <w:sz w:val="32"/>
          <w:szCs w:val="32"/>
        </w:rPr>
        <w:t>银行</w:t>
      </w:r>
      <w:r w:rsidR="006C4C06" w:rsidRPr="00446DD3">
        <w:rPr>
          <w:rFonts w:ascii="彩虹粗仿宋" w:eastAsia="彩虹粗仿宋" w:hint="eastAsia"/>
          <w:snapToGrid w:val="0"/>
          <w:kern w:val="0"/>
          <w:sz w:val="32"/>
          <w:szCs w:val="32"/>
        </w:rPr>
        <w:t>股份有限公司</w:t>
      </w:r>
      <w:r w:rsidRPr="00CC4475">
        <w:rPr>
          <w:rFonts w:ascii="彩虹粗仿宋" w:eastAsia="彩虹粗仿宋" w:hAnsi="宋体" w:cs="宋体" w:hint="eastAsia"/>
          <w:color w:val="000000"/>
          <w:kern w:val="0"/>
          <w:sz w:val="32"/>
          <w:szCs w:val="32"/>
        </w:rPr>
        <w:t>作为</w:t>
      </w:r>
      <w:r w:rsidR="00DE1F9E" w:rsidRPr="00DE1F9E">
        <w:rPr>
          <w:rFonts w:ascii="彩虹粗仿宋" w:eastAsia="彩虹粗仿宋" w:hAnsi="宋体" w:cs="宋体" w:hint="eastAsia"/>
          <w:color w:val="000000"/>
          <w:kern w:val="0"/>
          <w:sz w:val="32"/>
          <w:szCs w:val="32"/>
        </w:rPr>
        <w:t>建信理财“安鑫”（最低持有</w:t>
      </w:r>
      <w:r w:rsidR="00DE1F9E" w:rsidRPr="00DE1F9E">
        <w:rPr>
          <w:rFonts w:ascii="彩虹粗仿宋" w:eastAsia="彩虹粗仿宋" w:hAnsi="宋体" w:cs="宋体"/>
          <w:color w:val="000000"/>
          <w:kern w:val="0"/>
          <w:sz w:val="32"/>
          <w:szCs w:val="32"/>
        </w:rPr>
        <w:t>360天）按日开放固定收益类净值型人民币理财产品</w:t>
      </w:r>
      <w:r w:rsidR="00DE1F9E">
        <w:rPr>
          <w:rFonts w:ascii="彩虹粗仿宋" w:eastAsia="彩虹粗仿宋" w:hAnsi="宋体" w:cs="宋体" w:hint="eastAsia"/>
          <w:color w:val="000000"/>
          <w:kern w:val="0"/>
          <w:sz w:val="32"/>
          <w:szCs w:val="32"/>
        </w:rPr>
        <w:t>L类份额</w:t>
      </w:r>
      <w:r w:rsidRPr="00CC4475">
        <w:rPr>
          <w:rFonts w:ascii="彩虹粗仿宋" w:eastAsia="彩虹粗仿宋" w:hAnsi="宋体" w:cs="宋体" w:hint="eastAsia"/>
          <w:color w:val="000000"/>
          <w:kern w:val="0"/>
          <w:sz w:val="32"/>
          <w:szCs w:val="32"/>
        </w:rPr>
        <w:t>的销售服</w:t>
      </w:r>
      <w:r w:rsidR="00EA066B">
        <w:rPr>
          <w:rFonts w:ascii="彩虹粗仿宋" w:eastAsia="彩虹粗仿宋" w:hAnsi="宋体" w:cs="宋体" w:hint="eastAsia"/>
          <w:color w:val="000000"/>
          <w:kern w:val="0"/>
          <w:sz w:val="32"/>
          <w:szCs w:val="32"/>
        </w:rPr>
        <w:t>务机构，并相应修改产品风险揭示书和说明书的相关内容，理财产品</w:t>
      </w:r>
      <w:r w:rsidRPr="00CC4475">
        <w:rPr>
          <w:rFonts w:ascii="彩虹粗仿宋" w:eastAsia="彩虹粗仿宋" w:hAnsi="宋体" w:cs="宋体" w:hint="eastAsia"/>
          <w:color w:val="000000"/>
          <w:kern w:val="0"/>
          <w:sz w:val="32"/>
          <w:szCs w:val="32"/>
        </w:rPr>
        <w:t>及增加的销售服务机构信息如下：</w:t>
      </w:r>
    </w:p>
    <w:p w:rsidR="00CC4475" w:rsidRPr="00CC4475" w:rsidRDefault="00CC4475" w:rsidP="00CC4475">
      <w:pPr>
        <w:widowControl/>
        <w:shd w:val="clear" w:color="auto" w:fill="FFFFFF"/>
        <w:spacing w:line="560" w:lineRule="atLeast"/>
        <w:ind w:firstLine="641"/>
        <w:jc w:val="left"/>
        <w:rPr>
          <w:rFonts w:ascii="宋体" w:eastAsia="宋体" w:hAnsi="宋体" w:cs="宋体"/>
          <w:color w:val="666666"/>
          <w:kern w:val="0"/>
          <w:szCs w:val="21"/>
        </w:rPr>
      </w:pPr>
      <w:r w:rsidRPr="00CC4475">
        <w:rPr>
          <w:rFonts w:ascii="彩虹黑体" w:eastAsia="彩虹黑体" w:hAnsi="宋体" w:cs="宋体" w:hint="eastAsia"/>
          <w:color w:val="000000"/>
          <w:kern w:val="0"/>
          <w:sz w:val="32"/>
          <w:szCs w:val="32"/>
        </w:rPr>
        <w:t>一、理财产品明细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56"/>
        <w:gridCol w:w="2551"/>
        <w:gridCol w:w="2489"/>
      </w:tblGrid>
      <w:tr w:rsidR="00F36A33" w:rsidRPr="00CC4475" w:rsidTr="00F36A33">
        <w:trPr>
          <w:trHeight w:val="579"/>
        </w:trPr>
        <w:tc>
          <w:tcPr>
            <w:tcW w:w="1962" w:type="pct"/>
            <w:shd w:val="clear" w:color="auto" w:fill="FFFFFF"/>
            <w:tcMar>
              <w:top w:w="0" w:type="dxa"/>
              <w:left w:w="108" w:type="dxa"/>
              <w:bottom w:w="0" w:type="dxa"/>
              <w:right w:w="108" w:type="dxa"/>
            </w:tcMar>
            <w:vAlign w:val="center"/>
            <w:hideMark/>
          </w:tcPr>
          <w:p w:rsidR="00F36A33" w:rsidRPr="00CC4475" w:rsidRDefault="00F36A33" w:rsidP="00CC4475">
            <w:pPr>
              <w:widowControl/>
              <w:spacing w:line="330" w:lineRule="atLeast"/>
              <w:jc w:val="center"/>
              <w:rPr>
                <w:rFonts w:ascii="宋体" w:eastAsia="宋体" w:hAnsi="宋体" w:cs="宋体"/>
                <w:color w:val="666666"/>
                <w:kern w:val="0"/>
                <w:szCs w:val="21"/>
              </w:rPr>
            </w:pPr>
            <w:r>
              <w:rPr>
                <w:rFonts w:ascii="宋体" w:eastAsia="宋体" w:hAnsi="宋体" w:cs="宋体" w:hint="eastAsia"/>
                <w:b/>
                <w:bCs/>
                <w:color w:val="000000"/>
                <w:kern w:val="0"/>
                <w:szCs w:val="21"/>
              </w:rPr>
              <w:t>理财产品</w:t>
            </w:r>
          </w:p>
        </w:tc>
        <w:tc>
          <w:tcPr>
            <w:tcW w:w="1537" w:type="pct"/>
            <w:shd w:val="clear" w:color="auto" w:fill="FFFFFF"/>
            <w:vAlign w:val="center"/>
          </w:tcPr>
          <w:p w:rsidR="00F36A33" w:rsidRPr="00CC4475" w:rsidRDefault="00F36A33" w:rsidP="00CC4475">
            <w:pPr>
              <w:widowControl/>
              <w:spacing w:line="330" w:lineRule="atLeast"/>
              <w:jc w:val="center"/>
              <w:rPr>
                <w:rFonts w:ascii="宋体" w:eastAsia="宋体" w:hAnsi="宋体" w:cs="宋体"/>
                <w:b/>
                <w:bCs/>
                <w:color w:val="000000"/>
                <w:kern w:val="0"/>
                <w:szCs w:val="21"/>
              </w:rPr>
            </w:pPr>
            <w:r w:rsidRPr="00CC4475">
              <w:rPr>
                <w:rFonts w:ascii="宋体" w:eastAsia="宋体" w:hAnsi="宋体" w:cs="宋体" w:hint="eastAsia"/>
                <w:b/>
                <w:bCs/>
                <w:color w:val="000000"/>
                <w:kern w:val="0"/>
                <w:szCs w:val="21"/>
              </w:rPr>
              <w:t>全国银行业理财信息登记系统编码</w:t>
            </w:r>
          </w:p>
        </w:tc>
        <w:tc>
          <w:tcPr>
            <w:tcW w:w="1500" w:type="pct"/>
            <w:shd w:val="clear" w:color="auto" w:fill="FFFFFF"/>
            <w:tcMar>
              <w:top w:w="0" w:type="dxa"/>
              <w:left w:w="108" w:type="dxa"/>
              <w:bottom w:w="0" w:type="dxa"/>
              <w:right w:w="108" w:type="dxa"/>
            </w:tcMar>
            <w:vAlign w:val="center"/>
            <w:hideMark/>
          </w:tcPr>
          <w:p w:rsidR="00F36A33" w:rsidRPr="00CC4475" w:rsidRDefault="00F36A33" w:rsidP="00F36A33">
            <w:pPr>
              <w:widowControl/>
              <w:spacing w:line="330" w:lineRule="atLeast"/>
              <w:jc w:val="center"/>
              <w:rPr>
                <w:rFonts w:ascii="宋体" w:eastAsia="宋体" w:hAnsi="宋体" w:cs="宋体"/>
                <w:color w:val="666666"/>
                <w:kern w:val="0"/>
                <w:szCs w:val="21"/>
              </w:rPr>
            </w:pPr>
            <w:r>
              <w:rPr>
                <w:rFonts w:ascii="宋体" w:eastAsia="宋体" w:hAnsi="宋体" w:cs="宋体" w:hint="eastAsia"/>
                <w:b/>
                <w:bCs/>
                <w:color w:val="000000"/>
                <w:kern w:val="0"/>
                <w:szCs w:val="21"/>
              </w:rPr>
              <w:t>L类份额代码</w:t>
            </w:r>
          </w:p>
        </w:tc>
      </w:tr>
      <w:tr w:rsidR="00F36A33" w:rsidRPr="00CC4475" w:rsidTr="00F36A33">
        <w:trPr>
          <w:trHeight w:val="579"/>
        </w:trPr>
        <w:tc>
          <w:tcPr>
            <w:tcW w:w="1962" w:type="pct"/>
            <w:shd w:val="clear" w:color="auto" w:fill="FFFFFF"/>
            <w:tcMar>
              <w:top w:w="0" w:type="dxa"/>
              <w:left w:w="108" w:type="dxa"/>
              <w:bottom w:w="0" w:type="dxa"/>
              <w:right w:w="108" w:type="dxa"/>
            </w:tcMar>
            <w:vAlign w:val="center"/>
            <w:hideMark/>
          </w:tcPr>
          <w:p w:rsidR="00F36A33" w:rsidRPr="00CC4475" w:rsidRDefault="00F36A33" w:rsidP="00CC4475">
            <w:pPr>
              <w:widowControl/>
              <w:spacing w:line="330" w:lineRule="atLeast"/>
              <w:jc w:val="center"/>
              <w:rPr>
                <w:rFonts w:ascii="宋体" w:eastAsia="宋体" w:hAnsi="宋体" w:cs="宋体"/>
                <w:color w:val="666666"/>
                <w:kern w:val="0"/>
                <w:szCs w:val="21"/>
              </w:rPr>
            </w:pPr>
            <w:r w:rsidRPr="00DE1F9E">
              <w:rPr>
                <w:rFonts w:ascii="宋体" w:eastAsia="宋体" w:hAnsi="宋体" w:cs="宋体" w:hint="eastAsia"/>
                <w:color w:val="000000"/>
                <w:kern w:val="0"/>
                <w:szCs w:val="21"/>
              </w:rPr>
              <w:t>建信理财“安鑫”（最低持有</w:t>
            </w:r>
            <w:r w:rsidRPr="00DE1F9E">
              <w:rPr>
                <w:rFonts w:ascii="宋体" w:eastAsia="宋体" w:hAnsi="宋体" w:cs="宋体"/>
                <w:color w:val="000000"/>
                <w:kern w:val="0"/>
                <w:szCs w:val="21"/>
              </w:rPr>
              <w:t>360天）按日开放固定收益类净值型人民币理财产品</w:t>
            </w:r>
          </w:p>
        </w:tc>
        <w:tc>
          <w:tcPr>
            <w:tcW w:w="1537" w:type="pct"/>
            <w:shd w:val="clear" w:color="auto" w:fill="FFFFFF"/>
            <w:vAlign w:val="center"/>
          </w:tcPr>
          <w:p w:rsidR="00F36A33" w:rsidRPr="00DE1F9E" w:rsidRDefault="00F36A33" w:rsidP="00DE1F9E">
            <w:pPr>
              <w:adjustRightInd w:val="0"/>
              <w:snapToGrid w:val="0"/>
              <w:ind w:leftChars="50" w:left="105" w:rightChars="50" w:right="105" w:firstLineChars="100" w:firstLine="210"/>
              <w:jc w:val="center"/>
              <w:rPr>
                <w:rFonts w:ascii="宋体" w:eastAsia="宋体" w:hAnsi="宋体" w:cs="宋体"/>
                <w:color w:val="000000"/>
                <w:kern w:val="0"/>
                <w:szCs w:val="21"/>
              </w:rPr>
            </w:pPr>
            <w:r>
              <w:rPr>
                <w:rFonts w:ascii="宋体" w:hAnsi="宋体"/>
              </w:rPr>
              <w:t>Z7000720000681</w:t>
            </w:r>
          </w:p>
        </w:tc>
        <w:tc>
          <w:tcPr>
            <w:tcW w:w="1500" w:type="pct"/>
            <w:shd w:val="clear" w:color="auto" w:fill="FFFFFF"/>
            <w:tcMar>
              <w:top w:w="0" w:type="dxa"/>
              <w:left w:w="108" w:type="dxa"/>
              <w:bottom w:w="0" w:type="dxa"/>
              <w:right w:w="108" w:type="dxa"/>
            </w:tcMar>
            <w:vAlign w:val="center"/>
            <w:hideMark/>
          </w:tcPr>
          <w:p w:rsidR="00F36A33" w:rsidRPr="00DE1F9E" w:rsidRDefault="00F36A33" w:rsidP="00F36A33">
            <w:pPr>
              <w:adjustRightInd w:val="0"/>
              <w:snapToGrid w:val="0"/>
              <w:ind w:leftChars="50" w:left="105" w:rightChars="50" w:right="105" w:firstLineChars="100" w:firstLine="210"/>
              <w:jc w:val="center"/>
              <w:rPr>
                <w:rFonts w:ascii="宋体" w:hAnsi="宋体"/>
              </w:rPr>
            </w:pPr>
            <w:r w:rsidRPr="00DE1F9E">
              <w:rPr>
                <w:rFonts w:ascii="宋体" w:eastAsia="宋体" w:hAnsi="宋体" w:cs="宋体"/>
                <w:color w:val="000000"/>
                <w:kern w:val="0"/>
                <w:szCs w:val="21"/>
              </w:rPr>
              <w:t>JXQYAX360D201820L</w:t>
            </w:r>
          </w:p>
        </w:tc>
      </w:tr>
    </w:tbl>
    <w:p w:rsidR="00CC4475" w:rsidRPr="00CC4475" w:rsidRDefault="00CC4475" w:rsidP="00CC4475">
      <w:pPr>
        <w:widowControl/>
        <w:shd w:val="clear" w:color="auto" w:fill="FFFFFF"/>
        <w:spacing w:line="560" w:lineRule="atLeast"/>
        <w:ind w:firstLine="641"/>
        <w:jc w:val="left"/>
        <w:rPr>
          <w:rFonts w:ascii="宋体" w:eastAsia="宋体" w:hAnsi="宋体" w:cs="宋体"/>
          <w:color w:val="666666"/>
          <w:kern w:val="0"/>
          <w:szCs w:val="21"/>
        </w:rPr>
      </w:pPr>
      <w:r w:rsidRPr="00CC4475">
        <w:rPr>
          <w:rFonts w:ascii="彩虹黑体" w:eastAsia="彩虹黑体" w:hAnsi="宋体" w:cs="宋体" w:hint="eastAsia"/>
          <w:color w:val="000000"/>
          <w:kern w:val="0"/>
          <w:sz w:val="32"/>
          <w:szCs w:val="32"/>
        </w:rPr>
        <w:t>二、销售服务机构信息</w:t>
      </w:r>
    </w:p>
    <w:tbl>
      <w:tblPr>
        <w:tblW w:w="5000" w:type="pct"/>
        <w:shd w:val="clear" w:color="auto" w:fill="FFFFFF"/>
        <w:tblCellMar>
          <w:left w:w="0" w:type="dxa"/>
          <w:right w:w="0" w:type="dxa"/>
        </w:tblCellMar>
        <w:tblLook w:val="04A0" w:firstRow="1" w:lastRow="0" w:firstColumn="1" w:lastColumn="0" w:noHBand="0" w:noVBand="1"/>
      </w:tblPr>
      <w:tblGrid>
        <w:gridCol w:w="2400"/>
        <w:gridCol w:w="1276"/>
        <w:gridCol w:w="4610"/>
      </w:tblGrid>
      <w:tr w:rsidR="00CC4475" w:rsidRPr="00CC4475" w:rsidTr="00DE70A4">
        <w:trPr>
          <w:trHeight w:val="439"/>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CC4475" w:rsidP="00CC4475">
            <w:pPr>
              <w:widowControl/>
              <w:spacing w:line="330" w:lineRule="atLeast"/>
              <w:jc w:val="center"/>
              <w:rPr>
                <w:rFonts w:ascii="宋体" w:eastAsia="宋体" w:hAnsi="宋体" w:cs="宋体"/>
                <w:color w:val="666666"/>
                <w:kern w:val="0"/>
                <w:szCs w:val="21"/>
              </w:rPr>
            </w:pPr>
            <w:r w:rsidRPr="00CC4475">
              <w:rPr>
                <w:rFonts w:ascii="宋体" w:eastAsia="宋体" w:hAnsi="宋体" w:cs="宋体" w:hint="eastAsia"/>
                <w:b/>
                <w:bCs/>
                <w:color w:val="000000"/>
                <w:kern w:val="0"/>
                <w:szCs w:val="21"/>
              </w:rPr>
              <w:t>销售服务机构</w:t>
            </w:r>
          </w:p>
        </w:tc>
      </w:tr>
      <w:tr w:rsidR="00CC4475" w:rsidRPr="00CC4475" w:rsidTr="000018BE">
        <w:trPr>
          <w:trHeight w:val="404"/>
        </w:trPr>
        <w:tc>
          <w:tcPr>
            <w:tcW w:w="1448" w:type="pct"/>
            <w:vMerge w:val="restart"/>
            <w:tcBorders>
              <w:top w:val="nil"/>
              <w:left w:val="single" w:sz="8" w:space="0" w:color="000000"/>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932D7D" w:rsidP="007E3B42">
            <w:pPr>
              <w:widowControl/>
              <w:spacing w:line="240" w:lineRule="atLeast"/>
              <w:jc w:val="center"/>
              <w:rPr>
                <w:rFonts w:ascii="宋体" w:eastAsia="宋体" w:hAnsi="宋体" w:cs="宋体"/>
                <w:color w:val="666666"/>
                <w:kern w:val="0"/>
                <w:szCs w:val="21"/>
              </w:rPr>
            </w:pPr>
            <w:r w:rsidRPr="00932D7D">
              <w:rPr>
                <w:rFonts w:ascii="宋体" w:eastAsia="宋体" w:hAnsi="宋体" w:cs="宋体" w:hint="eastAsia"/>
                <w:color w:val="000000"/>
                <w:kern w:val="0"/>
                <w:szCs w:val="21"/>
              </w:rPr>
              <w:t>交通银行股份有限公司</w:t>
            </w:r>
          </w:p>
        </w:tc>
        <w:tc>
          <w:tcPr>
            <w:tcW w:w="770"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CC4475" w:rsidP="007E3B42">
            <w:pPr>
              <w:widowControl/>
              <w:spacing w:line="240" w:lineRule="atLeast"/>
              <w:jc w:val="left"/>
              <w:rPr>
                <w:rFonts w:ascii="宋体" w:eastAsia="宋体" w:hAnsi="宋体" w:cs="宋体"/>
                <w:color w:val="666666"/>
                <w:kern w:val="0"/>
                <w:szCs w:val="21"/>
              </w:rPr>
            </w:pPr>
            <w:r w:rsidRPr="00CC4475">
              <w:rPr>
                <w:rFonts w:ascii="宋体" w:eastAsia="宋体" w:hAnsi="宋体" w:cs="宋体" w:hint="eastAsia"/>
                <w:color w:val="000000"/>
                <w:kern w:val="0"/>
                <w:szCs w:val="21"/>
              </w:rPr>
              <w:t>住所</w:t>
            </w:r>
          </w:p>
        </w:tc>
        <w:tc>
          <w:tcPr>
            <w:tcW w:w="2782"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932D7D" w:rsidP="007E3B42">
            <w:pPr>
              <w:widowControl/>
              <w:spacing w:line="240" w:lineRule="atLeast"/>
              <w:rPr>
                <w:rFonts w:ascii="宋体" w:eastAsia="宋体" w:hAnsi="宋体" w:cs="宋体"/>
                <w:color w:val="666666"/>
                <w:kern w:val="0"/>
                <w:szCs w:val="21"/>
              </w:rPr>
            </w:pPr>
            <w:r w:rsidRPr="00932D7D">
              <w:rPr>
                <w:rFonts w:ascii="宋体" w:eastAsia="宋体" w:hAnsi="宋体" w:cs="宋体" w:hint="eastAsia"/>
                <w:color w:val="000000"/>
                <w:kern w:val="0"/>
                <w:szCs w:val="21"/>
              </w:rPr>
              <w:t>上海市浦东新区银城中路</w:t>
            </w:r>
            <w:r w:rsidRPr="00932D7D">
              <w:rPr>
                <w:rFonts w:ascii="宋体" w:eastAsia="宋体" w:hAnsi="宋体" w:cs="宋体"/>
                <w:color w:val="000000"/>
                <w:kern w:val="0"/>
                <w:szCs w:val="21"/>
              </w:rPr>
              <w:t xml:space="preserve"> 188 号</w:t>
            </w:r>
          </w:p>
        </w:tc>
      </w:tr>
      <w:tr w:rsidR="00CC4475" w:rsidRPr="00CC4475" w:rsidTr="007E3B42">
        <w:trPr>
          <w:trHeight w:val="598"/>
        </w:trPr>
        <w:tc>
          <w:tcPr>
            <w:tcW w:w="1448" w:type="pct"/>
            <w:vMerge/>
            <w:tcBorders>
              <w:top w:val="nil"/>
              <w:left w:val="single" w:sz="8" w:space="0" w:color="000000"/>
              <w:bottom w:val="single" w:sz="8" w:space="0" w:color="000000"/>
              <w:right w:val="single" w:sz="8" w:space="0" w:color="000000"/>
            </w:tcBorders>
            <w:shd w:val="clear" w:color="auto" w:fill="FFFFFF"/>
            <w:vAlign w:val="center"/>
            <w:hideMark/>
          </w:tcPr>
          <w:p w:rsidR="00CC4475" w:rsidRPr="00CC4475" w:rsidRDefault="00CC4475" w:rsidP="007E3B42">
            <w:pPr>
              <w:widowControl/>
              <w:spacing w:line="240" w:lineRule="atLeast"/>
              <w:jc w:val="left"/>
              <w:rPr>
                <w:rFonts w:ascii="宋体" w:eastAsia="宋体" w:hAnsi="宋体" w:cs="宋体"/>
                <w:color w:val="666666"/>
                <w:kern w:val="0"/>
                <w:szCs w:val="21"/>
              </w:rPr>
            </w:pPr>
          </w:p>
        </w:tc>
        <w:tc>
          <w:tcPr>
            <w:tcW w:w="770"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CC4475" w:rsidP="007E3B42">
            <w:pPr>
              <w:widowControl/>
              <w:spacing w:line="240" w:lineRule="atLeast"/>
              <w:jc w:val="left"/>
              <w:rPr>
                <w:rFonts w:ascii="宋体" w:eastAsia="宋体" w:hAnsi="宋体" w:cs="宋体"/>
                <w:color w:val="666666"/>
                <w:kern w:val="0"/>
                <w:szCs w:val="21"/>
              </w:rPr>
            </w:pPr>
            <w:r w:rsidRPr="00CC4475">
              <w:rPr>
                <w:rFonts w:ascii="宋体" w:eastAsia="宋体" w:hAnsi="宋体" w:cs="宋体" w:hint="eastAsia"/>
                <w:color w:val="000000"/>
                <w:kern w:val="0"/>
                <w:szCs w:val="21"/>
              </w:rPr>
              <w:t>主要职责</w:t>
            </w:r>
          </w:p>
        </w:tc>
        <w:tc>
          <w:tcPr>
            <w:tcW w:w="2782" w:type="pct"/>
            <w:tcBorders>
              <w:top w:val="nil"/>
              <w:left w:val="nil"/>
              <w:bottom w:val="single" w:sz="8" w:space="0" w:color="000000"/>
              <w:right w:val="single" w:sz="8" w:space="0" w:color="000000"/>
            </w:tcBorders>
            <w:shd w:val="clear" w:color="auto" w:fill="auto"/>
            <w:tcMar>
              <w:top w:w="0" w:type="dxa"/>
              <w:left w:w="105" w:type="dxa"/>
              <w:bottom w:w="0" w:type="dxa"/>
              <w:right w:w="105" w:type="dxa"/>
            </w:tcMar>
            <w:vAlign w:val="center"/>
            <w:hideMark/>
          </w:tcPr>
          <w:p w:rsidR="00CC4475" w:rsidRPr="00CC4475" w:rsidRDefault="00932D7D" w:rsidP="007E3B42">
            <w:pPr>
              <w:widowControl/>
              <w:spacing w:line="240" w:lineRule="atLeast"/>
              <w:rPr>
                <w:rFonts w:ascii="宋体" w:eastAsia="宋体" w:hAnsi="宋体" w:cs="宋体"/>
                <w:color w:val="666666"/>
                <w:kern w:val="0"/>
                <w:szCs w:val="21"/>
              </w:rPr>
            </w:pPr>
            <w:r w:rsidRPr="00932D7D">
              <w:rPr>
                <w:rFonts w:ascii="宋体" w:eastAsia="宋体" w:hAnsi="宋体" w:cs="宋体" w:hint="eastAsia"/>
                <w:color w:val="000000"/>
                <w:kern w:val="0"/>
                <w:szCs w:val="21"/>
              </w:rPr>
              <w:t>根据法律法规和合同约定，为投资者提供交易账户办理、产品交易等支持、销售咨询等服务。</w:t>
            </w:r>
          </w:p>
        </w:tc>
      </w:tr>
    </w:tbl>
    <w:p w:rsidR="00CC4475" w:rsidRDefault="00EA066B" w:rsidP="007515D1">
      <w:pPr>
        <w:widowControl/>
        <w:shd w:val="clear" w:color="auto" w:fill="FFFFFF"/>
        <w:spacing w:line="330" w:lineRule="atLeast"/>
        <w:ind w:firstLine="640"/>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该产品A类份额（</w:t>
      </w:r>
      <w:r w:rsidRPr="00EA066B">
        <w:rPr>
          <w:rFonts w:ascii="彩虹粗仿宋" w:eastAsia="彩虹粗仿宋" w:hAnsi="宋体" w:cs="宋体" w:hint="eastAsia"/>
          <w:color w:val="000000"/>
          <w:kern w:val="0"/>
          <w:sz w:val="32"/>
          <w:szCs w:val="32"/>
        </w:rPr>
        <w:t>产品编号</w:t>
      </w:r>
      <w:r>
        <w:rPr>
          <w:rFonts w:ascii="彩虹粗仿宋" w:eastAsia="彩虹粗仿宋" w:hAnsi="宋体" w:cs="宋体" w:hint="eastAsia"/>
          <w:color w:val="000000"/>
          <w:kern w:val="0"/>
          <w:sz w:val="32"/>
          <w:szCs w:val="32"/>
        </w:rPr>
        <w:t>：</w:t>
      </w:r>
      <w:r w:rsidRPr="00EA066B">
        <w:rPr>
          <w:rFonts w:ascii="彩虹粗仿宋" w:eastAsia="彩虹粗仿宋" w:hAnsi="宋体" w:cs="宋体"/>
          <w:color w:val="000000"/>
          <w:kern w:val="0"/>
          <w:sz w:val="32"/>
          <w:szCs w:val="32"/>
        </w:rPr>
        <w:t>JXQYAX360D2018202</w:t>
      </w:r>
      <w:r>
        <w:rPr>
          <w:rFonts w:ascii="彩虹粗仿宋" w:eastAsia="彩虹粗仿宋" w:hAnsi="宋体" w:cs="宋体" w:hint="eastAsia"/>
          <w:color w:val="000000"/>
          <w:kern w:val="0"/>
          <w:sz w:val="32"/>
          <w:szCs w:val="32"/>
        </w:rPr>
        <w:t>）的</w:t>
      </w:r>
      <w:r w:rsidR="007515D1">
        <w:rPr>
          <w:rFonts w:ascii="彩虹粗仿宋" w:eastAsia="彩虹粗仿宋" w:hAnsi="宋体" w:cs="宋体" w:hint="eastAsia"/>
          <w:color w:val="000000"/>
          <w:kern w:val="0"/>
          <w:sz w:val="32"/>
          <w:szCs w:val="32"/>
        </w:rPr>
        <w:t>代销机构</w:t>
      </w:r>
      <w:r>
        <w:rPr>
          <w:rFonts w:ascii="彩虹粗仿宋" w:eastAsia="彩虹粗仿宋" w:hAnsi="宋体" w:cs="宋体" w:hint="eastAsia"/>
          <w:color w:val="000000"/>
          <w:kern w:val="0"/>
          <w:sz w:val="32"/>
          <w:szCs w:val="32"/>
        </w:rPr>
        <w:t>不变。</w:t>
      </w:r>
      <w:r w:rsidR="00CC4475" w:rsidRPr="00CC4475">
        <w:rPr>
          <w:rFonts w:ascii="彩虹粗仿宋" w:eastAsia="彩虹粗仿宋" w:hAnsi="宋体" w:cs="宋体" w:hint="eastAsia"/>
          <w:color w:val="000000"/>
          <w:kern w:val="0"/>
          <w:sz w:val="32"/>
          <w:szCs w:val="32"/>
        </w:rPr>
        <w:t>建信理财有限责任公司将本着勤勉尽职的原则持续为您提供专业化理财服务。特此公告。</w:t>
      </w:r>
    </w:p>
    <w:p w:rsidR="007E25E6" w:rsidRPr="00CC4475" w:rsidRDefault="007E25E6" w:rsidP="007515D1">
      <w:pPr>
        <w:widowControl/>
        <w:shd w:val="clear" w:color="auto" w:fill="FFFFFF"/>
        <w:spacing w:line="330" w:lineRule="atLeast"/>
        <w:ind w:firstLine="640"/>
        <w:rPr>
          <w:rFonts w:ascii="宋体" w:eastAsia="宋体" w:hAnsi="宋体" w:cs="宋体"/>
          <w:color w:val="666666"/>
          <w:kern w:val="0"/>
          <w:szCs w:val="21"/>
        </w:rPr>
      </w:pPr>
    </w:p>
    <w:p w:rsidR="00CC4475" w:rsidRPr="00CC4475" w:rsidRDefault="00CC4475" w:rsidP="00CC4475">
      <w:pPr>
        <w:widowControl/>
        <w:shd w:val="clear" w:color="auto" w:fill="FFFFFF"/>
        <w:spacing w:line="330" w:lineRule="atLeast"/>
        <w:ind w:firstLine="360"/>
        <w:jc w:val="left"/>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lastRenderedPageBreak/>
        <w:t> </w:t>
      </w:r>
    </w:p>
    <w:p w:rsidR="00CC4475" w:rsidRPr="00CC4475" w:rsidRDefault="00CC4475" w:rsidP="00CC4475">
      <w:pPr>
        <w:widowControl/>
        <w:shd w:val="clear" w:color="auto" w:fill="FFFFFF"/>
        <w:spacing w:line="560" w:lineRule="atLeast"/>
        <w:ind w:right="320"/>
        <w:jc w:val="right"/>
        <w:rPr>
          <w:rFonts w:ascii="宋体" w:eastAsia="宋体" w:hAnsi="宋体" w:cs="宋体"/>
          <w:color w:val="666666"/>
          <w:kern w:val="0"/>
          <w:szCs w:val="21"/>
        </w:rPr>
      </w:pPr>
      <w:r w:rsidRPr="00CC4475">
        <w:rPr>
          <w:rFonts w:ascii="彩虹粗仿宋" w:eastAsia="彩虹粗仿宋" w:hAnsi="宋体" w:cs="宋体" w:hint="eastAsia"/>
          <w:color w:val="000000"/>
          <w:kern w:val="0"/>
          <w:sz w:val="32"/>
          <w:szCs w:val="32"/>
        </w:rPr>
        <w:t>建信理财有限责任公司</w:t>
      </w:r>
    </w:p>
    <w:p w:rsidR="00C14B65" w:rsidRDefault="00CC4475" w:rsidP="00EF58EF">
      <w:pPr>
        <w:widowControl/>
        <w:shd w:val="clear" w:color="auto" w:fill="FFFFFF"/>
        <w:spacing w:line="330" w:lineRule="atLeast"/>
        <w:ind w:right="640"/>
        <w:jc w:val="right"/>
      </w:pPr>
      <w:r w:rsidRPr="00CC4475">
        <w:rPr>
          <w:rFonts w:ascii="彩虹粗仿宋" w:eastAsia="彩虹粗仿宋" w:hAnsi="宋体" w:cs="宋体" w:hint="eastAsia"/>
          <w:color w:val="000000"/>
          <w:kern w:val="0"/>
          <w:sz w:val="32"/>
          <w:szCs w:val="32"/>
        </w:rPr>
        <w:t>20</w:t>
      </w:r>
      <w:r w:rsidR="00EF58EF">
        <w:rPr>
          <w:rFonts w:ascii="彩虹粗仿宋" w:eastAsia="彩虹粗仿宋" w:hAnsi="宋体" w:cs="宋体"/>
          <w:color w:val="000000"/>
          <w:kern w:val="0"/>
          <w:sz w:val="32"/>
          <w:szCs w:val="32"/>
        </w:rPr>
        <w:t>2</w:t>
      </w:r>
      <w:r w:rsidR="00932D7D">
        <w:rPr>
          <w:rFonts w:ascii="彩虹粗仿宋" w:eastAsia="彩虹粗仿宋" w:hAnsi="宋体" w:cs="宋体" w:hint="eastAsia"/>
          <w:color w:val="000000"/>
          <w:kern w:val="0"/>
          <w:sz w:val="32"/>
          <w:szCs w:val="32"/>
        </w:rPr>
        <w:t>4</w:t>
      </w:r>
      <w:r w:rsidRPr="00CC4475">
        <w:rPr>
          <w:rFonts w:ascii="彩虹粗仿宋" w:eastAsia="彩虹粗仿宋" w:hAnsi="宋体" w:cs="宋体" w:hint="eastAsia"/>
          <w:color w:val="000000"/>
          <w:kern w:val="0"/>
          <w:sz w:val="32"/>
          <w:szCs w:val="32"/>
        </w:rPr>
        <w:t>年</w:t>
      </w:r>
      <w:r w:rsidR="00932D7D">
        <w:rPr>
          <w:rFonts w:ascii="彩虹粗仿宋" w:eastAsia="彩虹粗仿宋" w:hAnsi="宋体" w:cs="宋体" w:hint="eastAsia"/>
          <w:color w:val="000000"/>
          <w:kern w:val="0"/>
          <w:sz w:val="32"/>
          <w:szCs w:val="32"/>
        </w:rPr>
        <w:t>6</w:t>
      </w:r>
      <w:r w:rsidRPr="00CC4475">
        <w:rPr>
          <w:rFonts w:ascii="彩虹粗仿宋" w:eastAsia="彩虹粗仿宋" w:hAnsi="宋体" w:cs="宋体" w:hint="eastAsia"/>
          <w:color w:val="000000"/>
          <w:kern w:val="0"/>
          <w:sz w:val="32"/>
          <w:szCs w:val="32"/>
        </w:rPr>
        <w:t>月</w:t>
      </w:r>
      <w:r w:rsidR="000B2A25">
        <w:rPr>
          <w:rFonts w:ascii="彩虹粗仿宋" w:eastAsia="彩虹粗仿宋" w:hAnsi="宋体" w:cs="宋体" w:hint="eastAsia"/>
          <w:color w:val="000000"/>
          <w:kern w:val="0"/>
          <w:sz w:val="32"/>
          <w:szCs w:val="32"/>
        </w:rPr>
        <w:t>28</w:t>
      </w:r>
      <w:r w:rsidRPr="00CC4475">
        <w:rPr>
          <w:rFonts w:ascii="彩虹粗仿宋" w:eastAsia="彩虹粗仿宋" w:hAnsi="宋体" w:cs="宋体" w:hint="eastAsia"/>
          <w:color w:val="000000"/>
          <w:kern w:val="0"/>
          <w:sz w:val="32"/>
          <w:szCs w:val="32"/>
        </w:rPr>
        <w:t>日</w:t>
      </w:r>
    </w:p>
    <w:sectPr w:rsidR="00C14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E0" w:rsidRDefault="00DA25E0" w:rsidP="00EF58EF">
      <w:r>
        <w:separator/>
      </w:r>
    </w:p>
  </w:endnote>
  <w:endnote w:type="continuationSeparator" w:id="0">
    <w:p w:rsidR="00DA25E0" w:rsidRDefault="00DA25E0" w:rsidP="00EF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E0" w:rsidRDefault="00DA25E0" w:rsidP="00EF58EF">
      <w:r>
        <w:separator/>
      </w:r>
    </w:p>
  </w:footnote>
  <w:footnote w:type="continuationSeparator" w:id="0">
    <w:p w:rsidR="00DA25E0" w:rsidRDefault="00DA25E0" w:rsidP="00EF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75"/>
    <w:rsid w:val="000018BE"/>
    <w:rsid w:val="000B2A25"/>
    <w:rsid w:val="000C13EA"/>
    <w:rsid w:val="000E1174"/>
    <w:rsid w:val="00131C55"/>
    <w:rsid w:val="003146EA"/>
    <w:rsid w:val="00406098"/>
    <w:rsid w:val="004118C3"/>
    <w:rsid w:val="004A79DA"/>
    <w:rsid w:val="004D412A"/>
    <w:rsid w:val="004D5507"/>
    <w:rsid w:val="00534FAD"/>
    <w:rsid w:val="006979D1"/>
    <w:rsid w:val="006C4C06"/>
    <w:rsid w:val="007515D1"/>
    <w:rsid w:val="007E25E6"/>
    <w:rsid w:val="007E3B42"/>
    <w:rsid w:val="008A6A69"/>
    <w:rsid w:val="00932D7D"/>
    <w:rsid w:val="00973786"/>
    <w:rsid w:val="00A37338"/>
    <w:rsid w:val="00C14B65"/>
    <w:rsid w:val="00CC4475"/>
    <w:rsid w:val="00D23B8E"/>
    <w:rsid w:val="00DA25E0"/>
    <w:rsid w:val="00DE1F9E"/>
    <w:rsid w:val="00DE70A4"/>
    <w:rsid w:val="00E225A1"/>
    <w:rsid w:val="00E35558"/>
    <w:rsid w:val="00EA066B"/>
    <w:rsid w:val="00EF58EF"/>
    <w:rsid w:val="00F3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1642E"/>
  <w15:chartTrackingRefBased/>
  <w15:docId w15:val="{5DCB07C7-A804-4F1D-877F-04B12B99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C447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C4475"/>
    <w:rPr>
      <w:rFonts w:ascii="宋体" w:eastAsia="宋体" w:hAnsi="宋体" w:cs="宋体"/>
      <w:b/>
      <w:bCs/>
      <w:kern w:val="0"/>
      <w:sz w:val="36"/>
      <w:szCs w:val="36"/>
    </w:rPr>
  </w:style>
  <w:style w:type="paragraph" w:styleId="a3">
    <w:name w:val="Normal (Web)"/>
    <w:basedOn w:val="a"/>
    <w:uiPriority w:val="99"/>
    <w:semiHidden/>
    <w:unhideWhenUsed/>
    <w:rsid w:val="00CC44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4475"/>
    <w:rPr>
      <w:b/>
      <w:bCs/>
    </w:rPr>
  </w:style>
  <w:style w:type="paragraph" w:styleId="a5">
    <w:name w:val="header"/>
    <w:basedOn w:val="a"/>
    <w:link w:val="a6"/>
    <w:uiPriority w:val="99"/>
    <w:unhideWhenUsed/>
    <w:rsid w:val="00EF58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58EF"/>
    <w:rPr>
      <w:sz w:val="18"/>
      <w:szCs w:val="18"/>
    </w:rPr>
  </w:style>
  <w:style w:type="paragraph" w:styleId="a7">
    <w:name w:val="footer"/>
    <w:basedOn w:val="a"/>
    <w:link w:val="a8"/>
    <w:uiPriority w:val="99"/>
    <w:unhideWhenUsed/>
    <w:rsid w:val="00EF58EF"/>
    <w:pPr>
      <w:tabs>
        <w:tab w:val="center" w:pos="4153"/>
        <w:tab w:val="right" w:pos="8306"/>
      </w:tabs>
      <w:snapToGrid w:val="0"/>
      <w:jc w:val="left"/>
    </w:pPr>
    <w:rPr>
      <w:sz w:val="18"/>
      <w:szCs w:val="18"/>
    </w:rPr>
  </w:style>
  <w:style w:type="character" w:customStyle="1" w:styleId="a8">
    <w:name w:val="页脚 字符"/>
    <w:basedOn w:val="a0"/>
    <w:link w:val="a7"/>
    <w:uiPriority w:val="99"/>
    <w:rsid w:val="00EF58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3077">
      <w:bodyDiv w:val="1"/>
      <w:marLeft w:val="0"/>
      <w:marRight w:val="0"/>
      <w:marTop w:val="0"/>
      <w:marBottom w:val="0"/>
      <w:divBdr>
        <w:top w:val="none" w:sz="0" w:space="0" w:color="auto"/>
        <w:left w:val="none" w:sz="0" w:space="0" w:color="auto"/>
        <w:bottom w:val="none" w:sz="0" w:space="0" w:color="auto"/>
        <w:right w:val="none" w:sz="0" w:space="0" w:color="auto"/>
      </w:divBdr>
      <w:divsChild>
        <w:div w:id="378359511">
          <w:marLeft w:val="0"/>
          <w:marRight w:val="0"/>
          <w:marTop w:val="0"/>
          <w:marBottom w:val="300"/>
          <w:divBdr>
            <w:top w:val="none" w:sz="0" w:space="0" w:color="auto"/>
            <w:left w:val="none" w:sz="0" w:space="0" w:color="auto"/>
            <w:bottom w:val="none" w:sz="0" w:space="0" w:color="auto"/>
            <w:right w:val="none" w:sz="0" w:space="0" w:color="auto"/>
          </w:divBdr>
        </w:div>
      </w:divsChild>
    </w:div>
    <w:div w:id="1321160023">
      <w:bodyDiv w:val="1"/>
      <w:marLeft w:val="0"/>
      <w:marRight w:val="0"/>
      <w:marTop w:val="0"/>
      <w:marBottom w:val="0"/>
      <w:divBdr>
        <w:top w:val="none" w:sz="0" w:space="0" w:color="auto"/>
        <w:left w:val="none" w:sz="0" w:space="0" w:color="auto"/>
        <w:bottom w:val="none" w:sz="0" w:space="0" w:color="auto"/>
        <w:right w:val="none" w:sz="0" w:space="0" w:color="auto"/>
      </w:divBdr>
      <w:divsChild>
        <w:div w:id="49225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产品管理部</dc:creator>
  <cp:keywords/>
  <dc:description/>
  <cp:lastModifiedBy>王菁</cp:lastModifiedBy>
  <cp:revision>22</cp:revision>
  <dcterms:created xsi:type="dcterms:W3CDTF">2022-10-27T03:09:00Z</dcterms:created>
  <dcterms:modified xsi:type="dcterms:W3CDTF">2024-06-28T08:38:00Z</dcterms:modified>
</cp:coreProperties>
</file>